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A649">
      <w:pPr>
        <w:spacing w:line="560" w:lineRule="exact"/>
        <w:textAlignment w:val="center"/>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w:t>
      </w:r>
      <w:r>
        <w:rPr>
          <w:rFonts w:hint="default" w:ascii="CESI黑体-GB2312" w:hAnsi="CESI黑体-GB2312" w:eastAsia="CESI黑体-GB2312" w:cs="CESI黑体-GB2312"/>
          <w:sz w:val="32"/>
          <w:szCs w:val="32"/>
          <w:lang w:val="en-US" w:eastAsia="zh-CN"/>
        </w:rPr>
        <w:t>件</w:t>
      </w:r>
      <w:r>
        <w:rPr>
          <w:rFonts w:hint="eastAsia" w:ascii="CESI黑体-GB2312" w:hAnsi="CESI黑体-GB2312" w:eastAsia="CESI黑体-GB2312" w:cs="CESI黑体-GB2312"/>
          <w:sz w:val="32"/>
          <w:szCs w:val="32"/>
          <w:lang w:val="en-US" w:eastAsia="zh-CN"/>
        </w:rPr>
        <w:t>1</w:t>
      </w:r>
      <w:bookmarkStart w:id="0" w:name="_GoBack"/>
      <w:bookmarkEnd w:id="0"/>
    </w:p>
    <w:p w14:paraId="1B4CE15C">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2025年学校思想政治工作研究课题选题指南</w:t>
      </w:r>
    </w:p>
    <w:p w14:paraId="7571060D">
      <w:pPr>
        <w:keepNext w:val="0"/>
        <w:keepLines w:val="0"/>
        <w:widowControl/>
        <w:numPr>
          <w:ilvl w:val="0"/>
          <w:numId w:val="0"/>
        </w:numPr>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一、习近平新时代中国特色社会主义思想研究方面 </w:t>
      </w:r>
    </w:p>
    <w:p w14:paraId="67005F27">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1.习近平新时代中国特色社会主义思想入脑入心有效路径研究</w:t>
      </w:r>
    </w:p>
    <w:p w14:paraId="542AC9A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2.习近平总书记关于学校思想政治理论课建设重要论述研究</w:t>
      </w:r>
    </w:p>
    <w:p w14:paraId="1221DB8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3.习近平新时代中国特色社会主义思想深度融入大中小学思政课研究 </w:t>
      </w:r>
    </w:p>
    <w:p w14:paraId="0D27187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4.习近平新时代中国特色社会主义思想融入不同学段的教学路径研究</w:t>
      </w:r>
    </w:p>
    <w:p w14:paraId="0610817E">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5.习近平新时代中国特色社会主义思想“三进”质量监测体系研究</w:t>
      </w:r>
    </w:p>
    <w:p w14:paraId="0E10025A">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6.《习近平新时代中国特色社会主义思想学生读本》与语文、历史、道法等课程的融入研究 </w:t>
      </w:r>
    </w:p>
    <w:p w14:paraId="45AF4B4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7.习近平法治思想“三进”路径研究 </w:t>
      </w:r>
    </w:p>
    <w:p w14:paraId="1151AAFA">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8.习近平总书记视察甘肃重要讲话重要指示精神体系化阐释研究 </w:t>
      </w:r>
    </w:p>
    <w:p w14:paraId="5003C48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9.习近平总书记视察甘肃重要讲话重要指示精神融入“大思政”格局实践育人体制机制研究 </w:t>
      </w:r>
    </w:p>
    <w:p w14:paraId="58FE7549">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10.深入学习贯彻习近平总书记视察甘肃重要讲话重要指精神的思政引领力发挥路径研究 </w:t>
      </w:r>
    </w:p>
    <w:p w14:paraId="56603904">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二、新时代学校思想政治工作机制研究方面</w:t>
      </w:r>
      <w:r>
        <w:rPr>
          <w:rFonts w:hint="eastAsia" w:ascii="仿宋_GB2312" w:hAnsi="仿宋_GB2312" w:eastAsia="仿宋_GB2312" w:cs="仿宋_GB2312"/>
          <w:color w:val="000000"/>
          <w:kern w:val="0"/>
          <w:sz w:val="32"/>
          <w:szCs w:val="32"/>
          <w:lang w:val="en-US" w:eastAsia="zh-CN" w:bidi="ar"/>
        </w:rPr>
        <w:t xml:space="preserve"> </w:t>
      </w:r>
    </w:p>
    <w:p w14:paraId="6105B04C">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1.新时代学校思想政治工作存在的问题及对策研究 </w:t>
      </w:r>
    </w:p>
    <w:p w14:paraId="68F3F5B3">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2.“大思政”格局下学校思想政治工作队伍建设研究 </w:t>
      </w:r>
    </w:p>
    <w:p w14:paraId="3854AB8C">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3.新时代学校思想政治工作评价机制研究 </w:t>
      </w:r>
    </w:p>
    <w:p w14:paraId="34F8C49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4.当前甘肃高校课程思政实践的方法路径研究 </w:t>
      </w:r>
    </w:p>
    <w:p w14:paraId="5F66976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三、“大思政课”研究方面</w:t>
      </w:r>
      <w:r>
        <w:rPr>
          <w:rFonts w:hint="eastAsia" w:ascii="仿宋_GB2312" w:hAnsi="仿宋_GB2312" w:eastAsia="仿宋_GB2312" w:cs="仿宋_GB2312"/>
          <w:color w:val="000000"/>
          <w:kern w:val="0"/>
          <w:sz w:val="32"/>
          <w:szCs w:val="32"/>
          <w:lang w:val="en-US" w:eastAsia="zh-CN" w:bidi="ar"/>
        </w:rPr>
        <w:t xml:space="preserve"> </w:t>
      </w:r>
    </w:p>
    <w:p w14:paraId="788F693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1.“大思政课”课程群建设研究 </w:t>
      </w:r>
    </w:p>
    <w:p w14:paraId="0D1D8275">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2.思政“小课堂”与社会“大课堂” 协同育人研究 </w:t>
      </w:r>
    </w:p>
    <w:p w14:paraId="3352ED9E">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3.甘肃省“大思政课”建设典型实践与先进经验研究 </w:t>
      </w:r>
    </w:p>
    <w:p w14:paraId="580F83B1">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四、大中小学思政课一体化研究方面 </w:t>
      </w:r>
    </w:p>
    <w:p w14:paraId="26D17BA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1.大中小学思政课一体化改革创新研究 </w:t>
      </w:r>
    </w:p>
    <w:p w14:paraId="1DCD94BA">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2.大中小学思政课同题异构教学案例研究 </w:t>
      </w:r>
    </w:p>
    <w:p w14:paraId="3FC54543">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3.大中小学思政课一体化建设的评价机制和体系研 究 </w:t>
      </w:r>
    </w:p>
    <w:p w14:paraId="403624F9">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4.大中小学思政课一体化建设中教师协同培养与素养提升研究 </w:t>
      </w:r>
    </w:p>
    <w:p w14:paraId="6326B355">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5.大中小学爱国主义教育一体化建设的理论与实践研究 </w:t>
      </w:r>
    </w:p>
    <w:p w14:paraId="605B721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6.铸牢中华民族共同体意识视域下大中小学思政课一体化研究 </w:t>
      </w:r>
    </w:p>
    <w:p w14:paraId="30083916">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五、大中小学思政课一体化实践育人研究方面 </w:t>
      </w:r>
    </w:p>
    <w:p w14:paraId="445147C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1.大中小学思政课一体化实践育人机制与实效性研究 </w:t>
      </w:r>
    </w:p>
    <w:p w14:paraId="7A923D03">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2.大中小学思政课一体化实践育人课程体系建设研究 </w:t>
      </w:r>
    </w:p>
    <w:p w14:paraId="572E7429">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3.甘肃省大中小学思政课一体化实践教学评价体系研究</w:t>
      </w:r>
    </w:p>
    <w:p w14:paraId="0743F17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4.甘肃省大中小学思政课一体化实践育人基地高质量建设研究 </w:t>
      </w:r>
    </w:p>
    <w:p w14:paraId="1F1BDA5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5.甘肃省大中小学思政课体系化实践育人精品教学案例开发与建设研究 </w:t>
      </w:r>
    </w:p>
    <w:p w14:paraId="06FBB8C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6.甘肃本土文化资源融入大中小学思政课一体化实践育人研究 </w:t>
      </w:r>
    </w:p>
    <w:p w14:paraId="4A64AF2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7.铸牢中华民族共同体 意识融入大中小学思政课一体化实践育人研究 </w:t>
      </w:r>
    </w:p>
    <w:p w14:paraId="273E0B5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8.校地协同背景下大中小学思政课精品实践育人路线建设研究 </w:t>
      </w:r>
    </w:p>
    <w:p w14:paraId="3B3F8314">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9.甘肃教育文化传承与实践成效研究 </w:t>
      </w:r>
    </w:p>
    <w:p w14:paraId="69592A0D">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六、数字思政研究方面 </w:t>
      </w:r>
    </w:p>
    <w:p w14:paraId="710FB16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1.信息技术赋能大中小学思政课一体化建设的创新模式研究 </w:t>
      </w:r>
    </w:p>
    <w:p w14:paraId="46A99DDD">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2.基于大数据分析的思政课教育教学动态反馈改进机制研究 </w:t>
      </w:r>
    </w:p>
    <w:p w14:paraId="02BFAB2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3.甘肃省大中小学思想政治教育数字化转型的现状与推进路径研究 </w:t>
      </w:r>
    </w:p>
    <w:p w14:paraId="2651F220">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七、辅导员工作研究方面 </w:t>
      </w:r>
    </w:p>
    <w:p w14:paraId="3122CA2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1.创新高校辅导员队伍建设机制研究 </w:t>
      </w:r>
    </w:p>
    <w:p w14:paraId="32E3130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2.高校辅导员提升政治引领力建设路径研究 </w:t>
      </w:r>
    </w:p>
    <w:p w14:paraId="5EAB86C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3.高校辅导员工作室高质量内涵式建设机制研究 </w:t>
      </w:r>
    </w:p>
    <w:p w14:paraId="18FCC3FA">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4.思政课有效发挥思想引领力化解新时代大/中/小学生思想矛盾问题研究 </w:t>
      </w:r>
    </w:p>
    <w:p w14:paraId="73B08F93">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5.高校“一站式”学生社区综合管理模式建设研究 </w:t>
      </w:r>
    </w:p>
    <w:p w14:paraId="5129AACE">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6.“小我”与“大我”辩证视域下青年学生就业观择业观的差异分析与分类引导策略研究</w:t>
      </w:r>
    </w:p>
    <w:p w14:paraId="116335B6">
      <w:pPr>
        <w:keepNext w:val="0"/>
        <w:keepLines w:val="0"/>
        <w:widowControl/>
        <w:suppressLineNumbers w:val="0"/>
        <w:jc w:val="left"/>
        <w:rPr>
          <w:rFonts w:hint="default" w:ascii="*KSSIOGGABM0_32_3" w:hAnsi="*KSSIOGGABM0_32_3" w:eastAsia="*KSSIOGGABM0_32_3" w:cs="*KSSIOGGABM0_32_3"/>
          <w:color w:val="000000"/>
          <w:kern w:val="0"/>
          <w:sz w:val="36"/>
          <w:szCs w:val="36"/>
          <w:lang w:val="en-US" w:eastAsia="zh-CN" w:bidi="ar"/>
        </w:rPr>
      </w:pPr>
    </w:p>
    <w:p w14:paraId="2C966D36">
      <w:pPr>
        <w:keepNext w:val="0"/>
        <w:keepLines w:val="0"/>
        <w:widowControl/>
        <w:suppressLineNumbers w:val="0"/>
        <w:jc w:val="left"/>
        <w:rPr>
          <w:rFonts w:hint="default" w:ascii="*KSIVSGDVYD0_32_4" w:hAnsi="*KSIVSGDVYD0_32_4" w:eastAsia="*KSIVSGDVYD0_32_4" w:cs="*KSIVSGDVYD0_32_4"/>
          <w:color w:val="000000"/>
          <w:kern w:val="0"/>
          <w:sz w:val="34"/>
          <w:szCs w:val="34"/>
          <w:lang w:val="en-US" w:eastAsia="zh-CN" w:bidi="ar"/>
        </w:rPr>
      </w:pPr>
    </w:p>
    <w:p w14:paraId="57843BDC">
      <w:pPr>
        <w:keepNext w:val="0"/>
        <w:keepLines w:val="0"/>
        <w:widowControl/>
        <w:suppressLineNumbers w:val="0"/>
        <w:jc w:val="left"/>
        <w:rPr>
          <w:rFonts w:hint="default" w:ascii="*KSIVSGDVYD0_32_4" w:hAnsi="*KSIVSGDVYD0_32_4" w:eastAsia="*KSIVSGDVYD0_32_4" w:cs="*KSIVSGDVYD0_32_4"/>
          <w:color w:val="000000"/>
          <w:kern w:val="0"/>
          <w:sz w:val="34"/>
          <w:szCs w:val="34"/>
          <w:lang w:val="en-US" w:eastAsia="zh-CN" w:bidi="ar"/>
        </w:rPr>
      </w:pPr>
    </w:p>
    <w:p w14:paraId="6B0CD7B2">
      <w:pPr>
        <w:spacing w:line="560" w:lineRule="exact"/>
        <w:textAlignment w:val="center"/>
        <w:rPr>
          <w:rFonts w:hint="eastAsia" w:ascii="CESI黑体-GB2312" w:hAnsi="CESI黑体-GB2312" w:eastAsia="CESI黑体-GB2312" w:cs="CESI黑体-GB2312"/>
          <w:sz w:val="32"/>
          <w:szCs w:val="32"/>
        </w:rPr>
      </w:pPr>
    </w:p>
    <w:p w14:paraId="59F12E8B">
      <w:pPr>
        <w:spacing w:line="560" w:lineRule="exact"/>
        <w:textAlignment w:val="center"/>
        <w:rPr>
          <w:rFonts w:hint="eastAsia" w:ascii="CESI黑体-GB2312" w:hAnsi="CESI黑体-GB2312" w:eastAsia="CESI黑体-GB2312" w:cs="CESI黑体-GB2312"/>
          <w:sz w:val="32"/>
          <w:szCs w:val="32"/>
        </w:rPr>
      </w:pPr>
    </w:p>
    <w:p w14:paraId="5596D787">
      <w:pPr>
        <w:spacing w:line="560" w:lineRule="exact"/>
        <w:textAlignment w:val="center"/>
        <w:rPr>
          <w:rFonts w:hint="eastAsia" w:ascii="CESI黑体-GB2312" w:hAnsi="CESI黑体-GB2312" w:eastAsia="CESI黑体-GB2312" w:cs="CESI黑体-GB2312"/>
          <w:sz w:val="32"/>
          <w:szCs w:val="32"/>
        </w:rPr>
      </w:pPr>
    </w:p>
    <w:p w14:paraId="358E721B">
      <w:pPr>
        <w:spacing w:line="560" w:lineRule="exact"/>
        <w:textAlignment w:val="center"/>
        <w:rPr>
          <w:rFonts w:hint="eastAsia" w:ascii="CESI黑体-GB2312" w:hAnsi="CESI黑体-GB2312" w:eastAsia="CESI黑体-GB2312" w:cs="CESI黑体-GB2312"/>
          <w:sz w:val="32"/>
          <w:szCs w:val="32"/>
        </w:rPr>
      </w:pPr>
    </w:p>
    <w:p w14:paraId="453C4852">
      <w:pPr>
        <w:spacing w:line="560" w:lineRule="exact"/>
        <w:textAlignment w:val="center"/>
        <w:rPr>
          <w:rFonts w:hint="eastAsia" w:ascii="CESI黑体-GB2312" w:hAnsi="CESI黑体-GB2312" w:eastAsia="CESI黑体-GB2312" w:cs="CESI黑体-GB2312"/>
          <w:sz w:val="32"/>
          <w:szCs w:val="32"/>
        </w:rPr>
      </w:pPr>
    </w:p>
    <w:p w14:paraId="68A1AE13">
      <w:pPr>
        <w:spacing w:line="560" w:lineRule="exact"/>
        <w:textAlignment w:val="center"/>
        <w:rPr>
          <w:rFonts w:hint="eastAsia" w:ascii="CESI黑体-GB2312" w:hAnsi="CESI黑体-GB2312" w:eastAsia="CESI黑体-GB2312" w:cs="CESI黑体-GB2312"/>
          <w:sz w:val="32"/>
          <w:szCs w:val="32"/>
        </w:rPr>
      </w:pPr>
    </w:p>
    <w:p w14:paraId="5701C4CE">
      <w:pPr>
        <w:spacing w:line="560" w:lineRule="exact"/>
        <w:textAlignment w:val="center"/>
        <w:rPr>
          <w:rFonts w:hint="eastAsia" w:ascii="CESI黑体-GB2312" w:hAnsi="CESI黑体-GB2312" w:eastAsia="CESI黑体-GB2312" w:cs="CESI黑体-GB2312"/>
          <w:sz w:val="32"/>
          <w:szCs w:val="32"/>
        </w:rPr>
      </w:pPr>
    </w:p>
    <w:p w14:paraId="0CB8CAE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SSIOGGABM0_32_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IVSGDVYD0_32_4">
    <w:altName w:val="Segoe Print"/>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34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TU1YzMxZTYyYWJmNTczMTA2YTVhMzE2NTRlNjMifQ=="/>
  </w:docVars>
  <w:rsids>
    <w:rsidRoot w:val="00000000"/>
    <w:rsid w:val="00DE7E05"/>
    <w:rsid w:val="08F8136C"/>
    <w:rsid w:val="251B1B19"/>
    <w:rsid w:val="2A96494E"/>
    <w:rsid w:val="305046EA"/>
    <w:rsid w:val="37EA1FFE"/>
    <w:rsid w:val="53F45562"/>
    <w:rsid w:val="7518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1172</Words>
  <Characters>1217</Characters>
  <Lines>0</Lines>
  <Paragraphs>0</Paragraphs>
  <TotalTime>1278</TotalTime>
  <ScaleCrop>false</ScaleCrop>
  <LinksUpToDate>false</LinksUpToDate>
  <CharactersWithSpaces>1262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2025-07-02T11:59:00Z</dcterms:created>
  <dc:creator>LENOVO</dc:creator>
  <cp:lastModifiedBy>陈潇</cp:lastModifiedBy>
  <cp:lastPrinted>2025-07-02T12:01:00Z</cp:lastPrinted>
  <dcterms:modified xsi:type="dcterms:W3CDTF">2025-07-09T00:50:55Z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AC76D5782B4140AE9DE7233ED21BC118_12</vt:lpwstr>
  </property>
  <property fmtid="{D5CDD505-2E9C-101B-9397-08002B2CF9AE}" pid="4" name="KSOTemplateDocerSaveRecord">
    <vt:lpwstr>eyJoZGlkIjoiNmY1M2IwYTJkNGYyODI0ZGIyMDYwZGYyZmUzOTY4NDciLCJ1c2VySWQiOiIxNjYyNTUyNTgyIn0=</vt:lpwstr>
  </property>
</Properties>
</file>